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4f4f2" w:val="clear"/>
        <w:spacing w:after="0" w:line="240" w:lineRule="auto"/>
        <w:jc w:val="center"/>
        <w:rPr>
          <w:rFonts w:ascii="Helvetica Neue" w:cs="Helvetica Neue" w:eastAsia="Helvetica Neue" w:hAnsi="Helvetica Neue"/>
          <w:color w:val="222222"/>
          <w:sz w:val="41"/>
          <w:szCs w:val="4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31"/>
          <w:szCs w:val="31"/>
          <w:rtl w:val="0"/>
        </w:rPr>
        <w:t xml:space="preserve">Postup krokov na poukázanie 1,0% (2%) pre právnické osoby v roku 2020: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Vyberte si prijímateľa, alebo prijímateľov zo 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Zoznamu prijímateľov na rok 2020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. Právnické osoby môžu poukázať 1,0% (2%) z dane aj viacerým prijímateľom, minimálna výška v prospech jedného prijímateľa je 8 €.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18"/>
          <w:szCs w:val="18"/>
          <w:rtl w:val="0"/>
        </w:rPr>
        <w:t xml:space="preserve">VŽDY si overte aktuálnosť údajov o prijímateľovi v oficiálnom Zozname prijímateľov!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0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300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Helvetica Neue" w:cs="Helvetica Neue" w:eastAsia="Helvetica Neue" w:hAnsi="Helvetica Neue"/>
          <w:b w:val="1"/>
          <w:color w:val="55555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555555"/>
          <w:sz w:val="18"/>
          <w:szCs w:val="18"/>
          <w:rtl w:val="0"/>
        </w:rPr>
        <w:t xml:space="preserve">POZOR: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a) Ak právnická osoba (firma) v roku 2019 až do termínu na podanie daňového priznania a zaplatenie dane v roku 2020 (zvyčajne do 31.3.2020)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55555"/>
          <w:sz w:val="18"/>
          <w:szCs w:val="18"/>
          <w:rtl w:val="0"/>
        </w:rPr>
        <w:t xml:space="preserve">NEDAROVALA financie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 vo výške minimálne 0,5% z dane na verejnoprospešný účel (aj inej organizácii, nemusí byť iba prijímateľovi), tak môže poukázať iba 1,0% z dane – vyznačí v daňovom priznaní, že poukazuje iba 1,0% z dane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b) Ak právnická osoba (firma) v roku 2019 až do termínu na podanie daňového priznania a zaplatenie dane v roku 2020 (zvyčajne do 31.3.2020)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55555"/>
          <w:sz w:val="18"/>
          <w:szCs w:val="18"/>
          <w:rtl w:val="0"/>
        </w:rPr>
        <w:t xml:space="preserve">DAROVALA financie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000000" w:rsidDel="00000000" w:rsidP="00000000" w:rsidRDefault="00000000" w:rsidRPr="00000000" w14:paraId="0000000C">
      <w:pPr>
        <w:spacing w:after="225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c01d04"/>
            <w:sz w:val="18"/>
            <w:szCs w:val="18"/>
            <w:u w:val="single"/>
            <w:rtl w:val="0"/>
          </w:rPr>
          <w:t xml:space="preserve">V daňovom priznaní pre právnické osoby</w:t>
        </w:r>
      </w:hyperlink>
      <w:hyperlink r:id="rId8">
        <w:r w:rsidDel="00000000" w:rsidR="00000000" w:rsidRPr="00000000">
          <w:rPr>
            <w:rFonts w:ascii="Helvetica Neue" w:cs="Helvetica Neue" w:eastAsia="Helvetica Neue" w:hAnsi="Helvetica Neue"/>
            <w:color w:val="c01d04"/>
            <w:sz w:val="18"/>
            <w:szCs w:val="18"/>
            <w:u w:val="single"/>
            <w:rtl w:val="0"/>
          </w:rPr>
          <w:t xml:space="preserve"> 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– časť VI. sú už uvedené kolónky na poukázanie 1,0% (2%) z dane v prospech 1 prijímateľa.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Údaje, ktoré potrebujete do daňového priznania uviesť, nájdete v Zozname prijímateľov pri organizácií/organizáciách, ktorú/é ste si vybrali.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225" w:hanging="360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:rsidR="00000000" w:rsidDel="00000000" w:rsidP="00000000" w:rsidRDefault="00000000" w:rsidRPr="00000000" w14:paraId="00000010">
      <w:pPr>
        <w:spacing w:after="0" w:line="240" w:lineRule="auto"/>
        <w:ind w:left="225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3. Ak súhlasíte so zaslaním údajov (obchodné meno alebo názov, sídlo a právna forma) vami určeným prijímateľom, tak zaškrtnite súhlas so zaslaním údajov.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55555"/>
          <w:sz w:val="18"/>
          <w:szCs w:val="18"/>
          <w:rtl w:val="0"/>
        </w:rPr>
        <w:t xml:space="preserve"> – NOVINKA od roku 2016!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4a). Riadne vyplnené daňové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55555"/>
          <w:sz w:val="18"/>
          <w:szCs w:val="18"/>
          <w:u w:val="single"/>
          <w:rtl w:val="0"/>
        </w:rPr>
        <w:t xml:space="preserve">priznanie odošlite elektronicky v lehote</w:t>
      </w: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, ktorú máte na podanie daňového priznania  a v tomto termíne aj zaplaťte daň z príjmov.</w:t>
      </w:r>
    </w:p>
    <w:p w:rsidR="00000000" w:rsidDel="00000000" w:rsidP="00000000" w:rsidRDefault="00000000" w:rsidRPr="00000000" w14:paraId="00000014">
      <w:pPr>
        <w:spacing w:after="225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25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4b). Ak nemáte povinnosť elektronickej komunikácie s Finančnou správou, tak vyplnené daňové priznanie zašlite v lehote na Finančnú správu a v tomto termíne aj zaplaťte daň z príjmov.</w:t>
      </w:r>
    </w:p>
    <w:p w:rsidR="00000000" w:rsidDel="00000000" w:rsidP="00000000" w:rsidRDefault="00000000" w:rsidRPr="00000000" w14:paraId="00000016">
      <w:pPr>
        <w:spacing w:after="225" w:line="240" w:lineRule="auto"/>
        <w:rPr>
          <w:rFonts w:ascii="Helvetica Neue" w:cs="Helvetica Neue" w:eastAsia="Helvetica Neue" w:hAnsi="Helvetica Neue"/>
          <w:color w:val="666666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color w:val="666666"/>
          <w:sz w:val="18"/>
          <w:szCs w:val="18"/>
          <w:rtl w:val="0"/>
        </w:rPr>
        <w:t xml:space="preserve">5. Daňový úrad po kontrole údajov a splnení všetkých podmienok má zákonnú lehotu 90 dní na to, aby previedol sumy, ktoré ste poukázali, v prospech Vami vybraných prijímateľov.</w:t>
      </w:r>
    </w:p>
    <w:p w:rsidR="00000000" w:rsidDel="00000000" w:rsidP="00000000" w:rsidRDefault="00000000" w:rsidRPr="00000000" w14:paraId="0000001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ozhodni.sk/zoznam-prijimatelov/" TargetMode="External"/><Relationship Id="rId7" Type="http://schemas.openxmlformats.org/officeDocument/2006/relationships/hyperlink" Target="http://rozhodni.sk/poukazatel/tlaciva-na-poukazanie-2-z-dane/" TargetMode="External"/><Relationship Id="rId8" Type="http://schemas.openxmlformats.org/officeDocument/2006/relationships/hyperlink" Target="http://rozhodni.sk/poukazatel/tlaciva-na-poukazanie-2-z-da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